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409"/>
        <w:gridCol w:w="1164"/>
        <w:gridCol w:w="831"/>
        <w:gridCol w:w="1060"/>
        <w:gridCol w:w="4663"/>
      </w:tblGrid>
      <w:tr w:rsidR="00C11764" w:rsidRPr="004C01A0">
        <w:tc>
          <w:tcPr>
            <w:tcW w:w="1409" w:type="dxa"/>
            <w:tcBorders>
              <w:top w:val="single" w:sz="18" w:space="0" w:color="auto"/>
            </w:tcBorders>
          </w:tcPr>
          <w:p w:rsidR="00C11764" w:rsidRPr="004C01A0" w:rsidRDefault="00C11764" w:rsidP="002D0AD8">
            <w:pPr>
              <w:pStyle w:val="NZVYKODYOBC"/>
              <w:rPr>
                <w:b/>
                <w:bCs/>
              </w:rPr>
            </w:pPr>
            <w:r w:rsidRPr="002D0AD8">
              <w:t>Kód pověřené obce</w:t>
            </w:r>
          </w:p>
        </w:tc>
        <w:tc>
          <w:tcPr>
            <w:tcW w:w="1164" w:type="dxa"/>
            <w:tcBorders>
              <w:top w:val="single" w:sz="18" w:space="0" w:color="auto"/>
            </w:tcBorders>
          </w:tcPr>
          <w:p w:rsidR="00C11764" w:rsidRPr="004C01A0" w:rsidRDefault="00C11764" w:rsidP="002D0AD8">
            <w:pPr>
              <w:pStyle w:val="NZVYKODYOBC"/>
            </w:pPr>
            <w:r w:rsidRPr="004C01A0">
              <w:t>Poř. číslo obce</w:t>
            </w:r>
          </w:p>
        </w:tc>
        <w:tc>
          <w:tcPr>
            <w:tcW w:w="831" w:type="dxa"/>
            <w:tcBorders>
              <w:top w:val="single" w:sz="18" w:space="0" w:color="auto"/>
            </w:tcBorders>
          </w:tcPr>
          <w:p w:rsidR="00C11764" w:rsidRPr="004C01A0" w:rsidRDefault="00C11764" w:rsidP="002D0AD8">
            <w:pPr>
              <w:pStyle w:val="NZVYKODYOBC"/>
            </w:pPr>
            <w:r w:rsidRPr="004C01A0">
              <w:t>Kód lokality</w:t>
            </w:r>
          </w:p>
        </w:tc>
        <w:tc>
          <w:tcPr>
            <w:tcW w:w="1060" w:type="dxa"/>
            <w:tcBorders>
              <w:top w:val="single" w:sz="18" w:space="0" w:color="auto"/>
            </w:tcBorders>
          </w:tcPr>
          <w:p w:rsidR="00C11764" w:rsidRPr="004C01A0" w:rsidRDefault="00C11764" w:rsidP="002D0AD8">
            <w:pPr>
              <w:pStyle w:val="NZVYKODYOBC"/>
            </w:pPr>
            <w:r w:rsidRPr="004C01A0">
              <w:t>Kód části</w:t>
            </w:r>
          </w:p>
          <w:p w:rsidR="00C11764" w:rsidRPr="004C01A0" w:rsidRDefault="00C11764" w:rsidP="002D0AD8">
            <w:pPr>
              <w:pStyle w:val="NZVYKODYOBC"/>
            </w:pPr>
            <w:r w:rsidRPr="004C01A0">
              <w:t>obce</w:t>
            </w:r>
          </w:p>
        </w:tc>
        <w:tc>
          <w:tcPr>
            <w:tcW w:w="4663" w:type="dxa"/>
            <w:tcBorders>
              <w:top w:val="single" w:sz="18" w:space="0" w:color="auto"/>
            </w:tcBorders>
          </w:tcPr>
          <w:p w:rsidR="00C11764" w:rsidRPr="004C01A0" w:rsidRDefault="00C11764" w:rsidP="002D0AD8">
            <w:pPr>
              <w:pStyle w:val="NZVYKODYOBC"/>
            </w:pPr>
            <w:r w:rsidRPr="004C01A0">
              <w:t>Název obce</w:t>
            </w:r>
          </w:p>
        </w:tc>
      </w:tr>
      <w:tr w:rsidR="00C11764" w:rsidRPr="004C01A0">
        <w:trPr>
          <w:trHeight w:val="567"/>
        </w:trPr>
        <w:tc>
          <w:tcPr>
            <w:tcW w:w="1409" w:type="dxa"/>
            <w:tcBorders>
              <w:bottom w:val="single" w:sz="18" w:space="0" w:color="auto"/>
            </w:tcBorders>
            <w:vAlign w:val="bottom"/>
          </w:tcPr>
          <w:p w:rsidR="00C11764" w:rsidRPr="004C01A0" w:rsidRDefault="00C11764">
            <w:pPr>
              <w:pStyle w:val="KODYOBC"/>
            </w:pPr>
            <w:r w:rsidRPr="004C01A0">
              <w:t>7209</w:t>
            </w:r>
          </w:p>
        </w:tc>
        <w:tc>
          <w:tcPr>
            <w:tcW w:w="1164" w:type="dxa"/>
            <w:tcBorders>
              <w:bottom w:val="single" w:sz="18" w:space="0" w:color="auto"/>
            </w:tcBorders>
            <w:vAlign w:val="bottom"/>
          </w:tcPr>
          <w:p w:rsidR="00C11764" w:rsidRPr="004C01A0" w:rsidRDefault="00C11764">
            <w:pPr>
              <w:pStyle w:val="KODYOBC"/>
            </w:pPr>
            <w:r w:rsidRPr="004C01A0">
              <w:t>015</w:t>
            </w:r>
          </w:p>
        </w:tc>
        <w:tc>
          <w:tcPr>
            <w:tcW w:w="831" w:type="dxa"/>
            <w:tcBorders>
              <w:bottom w:val="single" w:sz="18" w:space="0" w:color="auto"/>
            </w:tcBorders>
            <w:vAlign w:val="bottom"/>
          </w:tcPr>
          <w:p w:rsidR="00C11764" w:rsidRPr="004C01A0" w:rsidRDefault="00C11764">
            <w:pPr>
              <w:pStyle w:val="KODYOBC"/>
            </w:pPr>
            <w:r w:rsidRPr="004C01A0">
              <w:t>01</w:t>
            </w:r>
          </w:p>
        </w:tc>
        <w:tc>
          <w:tcPr>
            <w:tcW w:w="1060" w:type="dxa"/>
            <w:tcBorders>
              <w:bottom w:val="single" w:sz="18" w:space="0" w:color="auto"/>
            </w:tcBorders>
            <w:vAlign w:val="bottom"/>
          </w:tcPr>
          <w:p w:rsidR="00C11764" w:rsidRPr="004C01A0" w:rsidRDefault="00C11764">
            <w:pPr>
              <w:pStyle w:val="KODYOBC"/>
            </w:pPr>
            <w:r w:rsidRPr="004C01A0">
              <w:t>17369</w:t>
            </w:r>
          </w:p>
        </w:tc>
        <w:tc>
          <w:tcPr>
            <w:tcW w:w="4663" w:type="dxa"/>
            <w:tcBorders>
              <w:bottom w:val="single" w:sz="18" w:space="0" w:color="auto"/>
            </w:tcBorders>
            <w:vAlign w:val="bottom"/>
          </w:tcPr>
          <w:p w:rsidR="00C11764" w:rsidRPr="004C01A0" w:rsidRDefault="00C11764" w:rsidP="002D0AD8">
            <w:pPr>
              <w:pStyle w:val="Nadpis1"/>
            </w:pPr>
            <w:bookmarkStart w:id="0" w:name="_Toc44552388"/>
            <w:r w:rsidRPr="002D0AD8">
              <w:t>ÚJEZD</w:t>
            </w:r>
            <w:bookmarkEnd w:id="0"/>
          </w:p>
        </w:tc>
      </w:tr>
    </w:tbl>
    <w:p w:rsidR="00C11764" w:rsidRPr="002D0AD8" w:rsidRDefault="00C11764" w:rsidP="002D0AD8">
      <w:pPr>
        <w:pStyle w:val="Nadpis2"/>
      </w:pPr>
      <w:r w:rsidRPr="002D0AD8">
        <w:t>Stručná charakteristika řešeného území</w:t>
      </w:r>
    </w:p>
    <w:p w:rsidR="00C11764" w:rsidRPr="002D0AD8" w:rsidRDefault="00C11764">
      <w:pPr>
        <w:pStyle w:val="Zkladntext"/>
        <w:rPr>
          <w:rFonts w:ascii="Arial" w:hAnsi="Arial" w:cs="Arial"/>
          <w:sz w:val="20"/>
          <w:szCs w:val="22"/>
        </w:rPr>
      </w:pPr>
      <w:r w:rsidRPr="002D0AD8">
        <w:rPr>
          <w:rFonts w:ascii="Arial" w:hAnsi="Arial" w:cs="Arial"/>
          <w:sz w:val="20"/>
          <w:szCs w:val="22"/>
        </w:rPr>
        <w:t xml:space="preserve">Újezd je větší obec, která leží asi 8,5 km severozápadně od města Valašské Klobouky, nacházející se v jižním okraji Vizovických vrchů. Jižní část katastru zasahuje do CHKO Bílé Karpaty. Zástavbou prochází silnice III/4942  Drnovice - Loučka. Po východním a západním okraji katastru lemují dva potoky – Benčice a Sviborka. Dle podkladů </w:t>
      </w:r>
      <w:r w:rsidR="004C01A0" w:rsidRPr="002D0AD8">
        <w:rPr>
          <w:rFonts w:ascii="Arial" w:hAnsi="Arial" w:cs="Arial"/>
          <w:sz w:val="20"/>
          <w:szCs w:val="22"/>
        </w:rPr>
        <w:t>obce</w:t>
      </w:r>
      <w:r w:rsidR="0076133E" w:rsidRPr="002D0AD8">
        <w:rPr>
          <w:rFonts w:ascii="Arial" w:hAnsi="Arial" w:cs="Arial"/>
          <w:sz w:val="20"/>
          <w:szCs w:val="22"/>
        </w:rPr>
        <w:t xml:space="preserve"> bylo evidováno v roce </w:t>
      </w:r>
      <w:r w:rsidR="004C01A0" w:rsidRPr="002D0AD8">
        <w:rPr>
          <w:rFonts w:ascii="Arial" w:hAnsi="Arial" w:cs="Arial"/>
          <w:sz w:val="20"/>
          <w:szCs w:val="22"/>
        </w:rPr>
        <w:t xml:space="preserve">2016 </w:t>
      </w:r>
      <w:r w:rsidRPr="002D0AD8">
        <w:rPr>
          <w:rFonts w:ascii="Arial" w:hAnsi="Arial" w:cs="Arial"/>
          <w:sz w:val="20"/>
          <w:szCs w:val="22"/>
        </w:rPr>
        <w:t xml:space="preserve">v obci </w:t>
      </w:r>
      <w:r w:rsidR="004C01A0" w:rsidRPr="002D0AD8">
        <w:rPr>
          <w:rFonts w:ascii="Arial" w:hAnsi="Arial" w:cs="Arial"/>
          <w:sz w:val="20"/>
          <w:szCs w:val="22"/>
        </w:rPr>
        <w:t xml:space="preserve">1220 </w:t>
      </w:r>
      <w:r w:rsidRPr="002D0AD8">
        <w:rPr>
          <w:rFonts w:ascii="Arial" w:hAnsi="Arial" w:cs="Arial"/>
          <w:sz w:val="20"/>
          <w:szCs w:val="22"/>
        </w:rPr>
        <w:t xml:space="preserve">trvale žijících obyvatel. Předpokládaný vývoj počtu obyvatel do roku </w:t>
      </w:r>
      <w:r w:rsidR="004C01A0" w:rsidRPr="002D0AD8">
        <w:rPr>
          <w:rFonts w:ascii="Arial" w:hAnsi="Arial" w:cs="Arial"/>
          <w:sz w:val="20"/>
          <w:szCs w:val="22"/>
        </w:rPr>
        <w:t xml:space="preserve">2030 </w:t>
      </w:r>
      <w:r w:rsidRPr="002D0AD8">
        <w:rPr>
          <w:rFonts w:ascii="Arial" w:hAnsi="Arial" w:cs="Arial"/>
          <w:sz w:val="20"/>
          <w:szCs w:val="22"/>
        </w:rPr>
        <w:t xml:space="preserve">je na </w:t>
      </w:r>
      <w:r w:rsidR="004C01A0" w:rsidRPr="002D0AD8">
        <w:rPr>
          <w:rFonts w:ascii="Arial" w:hAnsi="Arial" w:cs="Arial"/>
          <w:sz w:val="20"/>
          <w:szCs w:val="22"/>
        </w:rPr>
        <w:t xml:space="preserve">1250 </w:t>
      </w:r>
      <w:r w:rsidRPr="002D0AD8">
        <w:rPr>
          <w:rFonts w:ascii="Arial" w:hAnsi="Arial" w:cs="Arial"/>
          <w:sz w:val="20"/>
          <w:szCs w:val="22"/>
        </w:rPr>
        <w:t>osob. Průměrná nadmořská výška zástavby se pohybuje v rozmezí 400 – 445 m n.</w:t>
      </w:r>
      <w:r w:rsidR="0093249D" w:rsidRPr="002D0AD8">
        <w:rPr>
          <w:rFonts w:ascii="Arial" w:hAnsi="Arial" w:cs="Arial"/>
          <w:sz w:val="20"/>
          <w:szCs w:val="22"/>
        </w:rPr>
        <w:t xml:space="preserve"> </w:t>
      </w:r>
      <w:r w:rsidRPr="002D0AD8">
        <w:rPr>
          <w:rFonts w:ascii="Arial" w:hAnsi="Arial" w:cs="Arial"/>
          <w:sz w:val="20"/>
          <w:szCs w:val="22"/>
        </w:rPr>
        <w:t xml:space="preserve">m. </w:t>
      </w:r>
    </w:p>
    <w:p w:rsidR="00C11764" w:rsidRPr="004C01A0" w:rsidRDefault="00C11764" w:rsidP="002D0AD8">
      <w:pPr>
        <w:pStyle w:val="Nadpis2"/>
      </w:pPr>
      <w:r w:rsidRPr="004C01A0">
        <w:t xml:space="preserve">Popis současného zásobování pitnou vodou </w:t>
      </w:r>
    </w:p>
    <w:p w:rsidR="00C11764" w:rsidRPr="002D0AD8" w:rsidRDefault="00C11764" w:rsidP="001A1CF0">
      <w:pPr>
        <w:pStyle w:val="Zkladntext"/>
        <w:spacing w:after="0"/>
        <w:rPr>
          <w:rFonts w:ascii="Arial" w:hAnsi="Arial" w:cs="Arial"/>
          <w:sz w:val="20"/>
          <w:szCs w:val="22"/>
        </w:rPr>
      </w:pPr>
      <w:r w:rsidRPr="002D0AD8">
        <w:rPr>
          <w:rFonts w:ascii="Arial" w:hAnsi="Arial" w:cs="Arial"/>
          <w:sz w:val="20"/>
          <w:szCs w:val="22"/>
        </w:rPr>
        <w:t>Obec má vybudovaný veřejný vodovod, který je v majetku VaK Zlín a.s. – provoz Luhačovice, byl vybudován v roce 1970. Zemní vodojem 150 m</w:t>
      </w:r>
      <w:r w:rsidRPr="002D0AD8">
        <w:rPr>
          <w:rFonts w:ascii="Arial" w:hAnsi="Arial" w:cs="Arial"/>
          <w:sz w:val="20"/>
          <w:szCs w:val="22"/>
          <w:vertAlign w:val="superscript"/>
        </w:rPr>
        <w:t>3</w:t>
      </w:r>
      <w:r w:rsidRPr="002D0AD8">
        <w:rPr>
          <w:rFonts w:ascii="Arial" w:hAnsi="Arial" w:cs="Arial"/>
          <w:sz w:val="20"/>
          <w:szCs w:val="22"/>
        </w:rPr>
        <w:t xml:space="preserve"> + 130 m</w:t>
      </w:r>
      <w:r w:rsidRPr="002D0AD8">
        <w:rPr>
          <w:rFonts w:ascii="Arial" w:hAnsi="Arial" w:cs="Arial"/>
          <w:sz w:val="20"/>
          <w:szCs w:val="22"/>
          <w:vertAlign w:val="superscript"/>
        </w:rPr>
        <w:t>3</w:t>
      </w:r>
      <w:r w:rsidRPr="002D0AD8">
        <w:rPr>
          <w:rFonts w:ascii="Arial" w:hAnsi="Arial" w:cs="Arial"/>
          <w:sz w:val="20"/>
          <w:szCs w:val="22"/>
        </w:rPr>
        <w:t xml:space="preserve"> (483,00 – 480,00) byl rozšířen v roce 1994 a je plněn ze tří zdrojů: </w:t>
      </w:r>
    </w:p>
    <w:p w:rsidR="00C11764" w:rsidRPr="002D0AD8" w:rsidRDefault="00C11764" w:rsidP="001A1CF0">
      <w:pPr>
        <w:pStyle w:val="Seznamsodrkami"/>
        <w:numPr>
          <w:ilvl w:val="0"/>
          <w:numId w:val="12"/>
        </w:numPr>
        <w:rPr>
          <w:rFonts w:ascii="Arial" w:hAnsi="Arial" w:cs="Arial"/>
          <w:sz w:val="20"/>
          <w:szCs w:val="22"/>
        </w:rPr>
      </w:pPr>
      <w:r w:rsidRPr="002D0AD8">
        <w:rPr>
          <w:rFonts w:ascii="Arial" w:hAnsi="Arial" w:cs="Arial"/>
          <w:sz w:val="20"/>
          <w:szCs w:val="22"/>
        </w:rPr>
        <w:t>gravitačně z původního prameniště v údolní nivě pravostranného přítoku Benčického potoka o vydatnosti 0,7 – 1,4 l.s</w:t>
      </w:r>
      <w:r w:rsidRPr="002D0AD8">
        <w:rPr>
          <w:rFonts w:ascii="Arial" w:hAnsi="Arial" w:cs="Arial"/>
          <w:sz w:val="20"/>
          <w:szCs w:val="22"/>
          <w:vertAlign w:val="superscript"/>
        </w:rPr>
        <w:t>-1</w:t>
      </w:r>
    </w:p>
    <w:p w:rsidR="00C11764" w:rsidRPr="002D0AD8" w:rsidRDefault="00C11764" w:rsidP="001A1CF0">
      <w:pPr>
        <w:pStyle w:val="Seznamsodrkami"/>
        <w:numPr>
          <w:ilvl w:val="0"/>
          <w:numId w:val="12"/>
        </w:numPr>
        <w:rPr>
          <w:rFonts w:ascii="Arial" w:hAnsi="Arial" w:cs="Arial"/>
          <w:sz w:val="20"/>
          <w:szCs w:val="22"/>
        </w:rPr>
      </w:pPr>
      <w:r w:rsidRPr="002D0AD8">
        <w:rPr>
          <w:rFonts w:ascii="Arial" w:hAnsi="Arial" w:cs="Arial"/>
          <w:sz w:val="20"/>
          <w:szCs w:val="22"/>
        </w:rPr>
        <w:t xml:space="preserve">z posilovacích vrtůHV1 – HV3 vybudovaných v dolním úseku údolí pravostranného přítoku Benčického potoka o vydatnosti </w:t>
      </w:r>
      <w:r w:rsidR="004C01A0" w:rsidRPr="002D0AD8">
        <w:rPr>
          <w:rFonts w:ascii="Arial" w:hAnsi="Arial" w:cs="Arial"/>
          <w:sz w:val="20"/>
          <w:szCs w:val="22"/>
        </w:rPr>
        <w:t>do 1,0</w:t>
      </w:r>
      <w:r w:rsidRPr="002D0AD8">
        <w:rPr>
          <w:rFonts w:ascii="Arial" w:hAnsi="Arial" w:cs="Arial"/>
          <w:sz w:val="20"/>
          <w:szCs w:val="22"/>
        </w:rPr>
        <w:t xml:space="preserve"> l.s</w:t>
      </w:r>
      <w:r w:rsidRPr="002D0AD8">
        <w:rPr>
          <w:rFonts w:ascii="Arial" w:hAnsi="Arial" w:cs="Arial"/>
          <w:sz w:val="20"/>
          <w:szCs w:val="22"/>
          <w:vertAlign w:val="superscript"/>
        </w:rPr>
        <w:t>-1</w:t>
      </w:r>
      <w:r w:rsidRPr="002D0AD8">
        <w:rPr>
          <w:rFonts w:ascii="Arial" w:hAnsi="Arial" w:cs="Arial"/>
          <w:sz w:val="20"/>
          <w:szCs w:val="22"/>
        </w:rPr>
        <w:t xml:space="preserve">. Voda je </w:t>
      </w:r>
      <w:r w:rsidR="00BA5BD7" w:rsidRPr="002D0AD8">
        <w:rPr>
          <w:rFonts w:ascii="Arial" w:hAnsi="Arial" w:cs="Arial"/>
          <w:sz w:val="20"/>
          <w:szCs w:val="22"/>
        </w:rPr>
        <w:t xml:space="preserve">pouze z jednoho </w:t>
      </w:r>
      <w:r w:rsidRPr="002D0AD8">
        <w:rPr>
          <w:rFonts w:ascii="Arial" w:hAnsi="Arial" w:cs="Arial"/>
          <w:sz w:val="20"/>
          <w:szCs w:val="22"/>
        </w:rPr>
        <w:t>vrt</w:t>
      </w:r>
      <w:r w:rsidR="004C01A0" w:rsidRPr="002D0AD8">
        <w:rPr>
          <w:rFonts w:ascii="Arial" w:hAnsi="Arial" w:cs="Arial"/>
          <w:sz w:val="20"/>
          <w:szCs w:val="22"/>
        </w:rPr>
        <w:t>u</w:t>
      </w:r>
      <w:r w:rsidRPr="002D0AD8">
        <w:rPr>
          <w:rFonts w:ascii="Arial" w:hAnsi="Arial" w:cs="Arial"/>
          <w:sz w:val="20"/>
          <w:szCs w:val="22"/>
        </w:rPr>
        <w:t xml:space="preserve"> čerpána do akumulace čerpací stanice 50 m</w:t>
      </w:r>
      <w:r w:rsidRPr="002D0AD8">
        <w:rPr>
          <w:rFonts w:ascii="Arial" w:hAnsi="Arial" w:cs="Arial"/>
          <w:sz w:val="20"/>
          <w:szCs w:val="22"/>
          <w:vertAlign w:val="superscript"/>
        </w:rPr>
        <w:t>3</w:t>
      </w:r>
      <w:r w:rsidRPr="002D0AD8">
        <w:rPr>
          <w:rFonts w:ascii="Arial" w:hAnsi="Arial" w:cs="Arial"/>
          <w:sz w:val="20"/>
          <w:szCs w:val="22"/>
        </w:rPr>
        <w:t xml:space="preserve"> (436,10 – 434,54) a odtud do VDJ Újezd 150 + 130 m</w:t>
      </w:r>
      <w:r w:rsidRPr="002D0AD8">
        <w:rPr>
          <w:rFonts w:ascii="Arial" w:hAnsi="Arial" w:cs="Arial"/>
          <w:sz w:val="20"/>
          <w:szCs w:val="22"/>
          <w:vertAlign w:val="superscript"/>
        </w:rPr>
        <w:t>3</w:t>
      </w:r>
      <w:r w:rsidRPr="002D0AD8">
        <w:rPr>
          <w:rFonts w:ascii="Arial" w:hAnsi="Arial" w:cs="Arial"/>
          <w:sz w:val="20"/>
          <w:szCs w:val="22"/>
        </w:rPr>
        <w:t>. V areálu čerpací stanice - 2,5 l.s</w:t>
      </w:r>
      <w:r w:rsidRPr="002D0AD8">
        <w:rPr>
          <w:rFonts w:ascii="Arial" w:hAnsi="Arial" w:cs="Arial"/>
          <w:sz w:val="20"/>
          <w:szCs w:val="22"/>
          <w:vertAlign w:val="superscript"/>
        </w:rPr>
        <w:t>-1</w:t>
      </w:r>
      <w:r w:rsidRPr="002D0AD8">
        <w:rPr>
          <w:rFonts w:ascii="Arial" w:hAnsi="Arial" w:cs="Arial"/>
          <w:sz w:val="20"/>
          <w:szCs w:val="22"/>
        </w:rPr>
        <w:t xml:space="preserve"> se nachází úpravna vody o kapacitě 2 l.s</w:t>
      </w:r>
      <w:r w:rsidRPr="002D0AD8">
        <w:rPr>
          <w:rFonts w:ascii="Arial" w:hAnsi="Arial" w:cs="Arial"/>
          <w:sz w:val="20"/>
          <w:szCs w:val="22"/>
          <w:vertAlign w:val="superscript"/>
        </w:rPr>
        <w:t>-1</w:t>
      </w:r>
      <w:r w:rsidRPr="002D0AD8">
        <w:rPr>
          <w:rFonts w:ascii="Arial" w:hAnsi="Arial" w:cs="Arial"/>
          <w:sz w:val="20"/>
          <w:szCs w:val="22"/>
        </w:rPr>
        <w:t xml:space="preserve"> (úprava spočívá v pomalé filtraci). </w:t>
      </w:r>
      <w:r w:rsidR="00BA5BD7" w:rsidRPr="002D0AD8">
        <w:rPr>
          <w:rFonts w:ascii="Arial" w:hAnsi="Arial" w:cs="Arial"/>
          <w:sz w:val="20"/>
          <w:szCs w:val="22"/>
        </w:rPr>
        <w:t xml:space="preserve">Zbylé 2 vrty jsou nefunkční. </w:t>
      </w:r>
    </w:p>
    <w:p w:rsidR="00C11764" w:rsidRPr="002D0AD8" w:rsidRDefault="00C11764" w:rsidP="001A1CF0">
      <w:pPr>
        <w:pStyle w:val="Seznamsodrkami"/>
        <w:numPr>
          <w:ilvl w:val="0"/>
          <w:numId w:val="12"/>
        </w:numPr>
        <w:rPr>
          <w:rFonts w:ascii="Arial" w:hAnsi="Arial" w:cs="Arial"/>
          <w:sz w:val="20"/>
          <w:szCs w:val="22"/>
        </w:rPr>
      </w:pPr>
      <w:r w:rsidRPr="002D0AD8">
        <w:rPr>
          <w:rFonts w:ascii="Arial" w:hAnsi="Arial" w:cs="Arial"/>
          <w:sz w:val="20"/>
          <w:szCs w:val="22"/>
        </w:rPr>
        <w:t>z VDJ Loučka 70 + 50 m</w:t>
      </w:r>
      <w:r w:rsidRPr="002D0AD8">
        <w:rPr>
          <w:rFonts w:ascii="Arial" w:hAnsi="Arial" w:cs="Arial"/>
          <w:sz w:val="20"/>
          <w:szCs w:val="22"/>
          <w:vertAlign w:val="superscript"/>
        </w:rPr>
        <w:t>3</w:t>
      </w:r>
      <w:r w:rsidRPr="002D0AD8">
        <w:rPr>
          <w:rFonts w:ascii="Arial" w:hAnsi="Arial" w:cs="Arial"/>
          <w:sz w:val="20"/>
          <w:szCs w:val="22"/>
        </w:rPr>
        <w:t xml:space="preserve"> (482,70 – 480,20) (zářezy Na nivách) přivaděčem napojeným na zásobovací síť v severozápadní části obce Loučka. Z důvodů nízkého tlaku je plnění VDJ Újezd prováděno v nočních hodinách. </w:t>
      </w:r>
    </w:p>
    <w:p w:rsidR="00C11764" w:rsidRPr="002D0AD8" w:rsidRDefault="00C11764" w:rsidP="001A1CF0">
      <w:pPr>
        <w:pStyle w:val="Zkladntext"/>
        <w:spacing w:after="0"/>
        <w:rPr>
          <w:rFonts w:ascii="Arial" w:hAnsi="Arial" w:cs="Arial"/>
          <w:sz w:val="20"/>
          <w:szCs w:val="22"/>
        </w:rPr>
      </w:pPr>
      <w:r w:rsidRPr="002D0AD8">
        <w:rPr>
          <w:rFonts w:ascii="Arial" w:hAnsi="Arial" w:cs="Arial"/>
          <w:sz w:val="20"/>
          <w:szCs w:val="22"/>
        </w:rPr>
        <w:t xml:space="preserve">Rozvodná vodovodní síť je zhotovena z litinových trub DN 80 – 150 dl. </w:t>
      </w:r>
      <w:r w:rsidR="00232856" w:rsidRPr="002D0AD8">
        <w:rPr>
          <w:rFonts w:ascii="Arial" w:hAnsi="Arial" w:cs="Arial"/>
          <w:sz w:val="20"/>
          <w:szCs w:val="22"/>
        </w:rPr>
        <w:t xml:space="preserve">5630 </w:t>
      </w:r>
      <w:r w:rsidRPr="002D0AD8">
        <w:rPr>
          <w:rFonts w:ascii="Arial" w:hAnsi="Arial" w:cs="Arial"/>
          <w:sz w:val="20"/>
          <w:szCs w:val="22"/>
        </w:rPr>
        <w:t xml:space="preserve">m, je v dobrém technickém stavu a zásobuje obec v jednom tlakovém pásmu. Zdravotní zabezpečení je prováděno ve VDJ chlorováním. Farma ZOD je zásobována z vlastních zdrojů. </w:t>
      </w:r>
      <w:r w:rsidR="00C768A8" w:rsidRPr="002D0AD8">
        <w:rPr>
          <w:rFonts w:ascii="Arial" w:hAnsi="Arial" w:cs="Arial"/>
          <w:sz w:val="20"/>
          <w:szCs w:val="22"/>
        </w:rPr>
        <w:t>V roce 2007 došlo k napojení ČOV - prodloužení vodovodu. Délka přívodních řadů je 3050m.</w:t>
      </w:r>
    </w:p>
    <w:p w:rsidR="00C11764" w:rsidRPr="004C01A0" w:rsidRDefault="00C11764" w:rsidP="002D0AD8">
      <w:pPr>
        <w:pStyle w:val="Nadpis2"/>
      </w:pPr>
      <w:r w:rsidRPr="004C01A0">
        <w:t>Rozvoj vodovodů ve výhledovém období</w:t>
      </w:r>
    </w:p>
    <w:p w:rsidR="00C11764" w:rsidRPr="002D0AD8" w:rsidRDefault="00C11764">
      <w:pPr>
        <w:pStyle w:val="Zkladntext"/>
        <w:rPr>
          <w:rFonts w:ascii="Arial" w:hAnsi="Arial" w:cs="Arial"/>
          <w:sz w:val="20"/>
          <w:szCs w:val="22"/>
        </w:rPr>
      </w:pPr>
      <w:r w:rsidRPr="002D0AD8">
        <w:rPr>
          <w:rFonts w:ascii="Arial" w:hAnsi="Arial" w:cs="Arial"/>
          <w:sz w:val="20"/>
          <w:szCs w:val="22"/>
        </w:rPr>
        <w:t xml:space="preserve">Zásobování obce, kapacita zdrojů, akumulací i rozvodných zařízení je </w:t>
      </w:r>
      <w:r w:rsidR="004C01A0" w:rsidRPr="002D0AD8">
        <w:rPr>
          <w:rFonts w:ascii="Arial" w:hAnsi="Arial" w:cs="Arial"/>
          <w:sz w:val="20"/>
          <w:szCs w:val="22"/>
        </w:rPr>
        <w:t>ne</w:t>
      </w:r>
      <w:r w:rsidRPr="002D0AD8">
        <w:rPr>
          <w:rFonts w:ascii="Arial" w:hAnsi="Arial" w:cs="Arial"/>
          <w:sz w:val="20"/>
          <w:szCs w:val="22"/>
        </w:rPr>
        <w:t xml:space="preserve">vyhovující pro výhledové období. </w:t>
      </w:r>
      <w:r w:rsidR="004C01A0" w:rsidRPr="002D0AD8">
        <w:rPr>
          <w:rFonts w:ascii="Arial" w:hAnsi="Arial" w:cs="Arial"/>
          <w:sz w:val="20"/>
          <w:szCs w:val="22"/>
        </w:rPr>
        <w:t xml:space="preserve">Je třeba vybudovat 2 posilovací vrty, </w:t>
      </w:r>
      <w:r w:rsidR="00CC2D8E" w:rsidRPr="002D0AD8">
        <w:rPr>
          <w:rFonts w:ascii="Arial" w:hAnsi="Arial" w:cs="Arial"/>
          <w:sz w:val="20"/>
          <w:szCs w:val="22"/>
        </w:rPr>
        <w:t xml:space="preserve">a v </w:t>
      </w:r>
      <w:r w:rsidR="004C01A0" w:rsidRPr="002D0AD8">
        <w:rPr>
          <w:rFonts w:ascii="Arial" w:hAnsi="Arial" w:cs="Arial"/>
          <w:sz w:val="20"/>
          <w:szCs w:val="22"/>
        </w:rPr>
        <w:t xml:space="preserve">plánu </w:t>
      </w:r>
      <w:r w:rsidR="00CC2D8E" w:rsidRPr="002D0AD8">
        <w:rPr>
          <w:rFonts w:ascii="Arial" w:hAnsi="Arial" w:cs="Arial"/>
          <w:sz w:val="20"/>
          <w:szCs w:val="22"/>
        </w:rPr>
        <w:t xml:space="preserve">provozovatele je </w:t>
      </w:r>
      <w:r w:rsidR="004C01A0" w:rsidRPr="002D0AD8">
        <w:rPr>
          <w:rFonts w:ascii="Arial" w:hAnsi="Arial" w:cs="Arial"/>
          <w:sz w:val="20"/>
          <w:szCs w:val="22"/>
        </w:rPr>
        <w:t>rekonstrukce prameniště.</w:t>
      </w:r>
      <w:r w:rsidRPr="002D0AD8">
        <w:rPr>
          <w:rFonts w:ascii="Arial" w:hAnsi="Arial" w:cs="Arial"/>
          <w:sz w:val="20"/>
          <w:szCs w:val="22"/>
        </w:rPr>
        <w:t xml:space="preserve"> Nové lokality budou zásobovány rozšířením vodovodní sítě v délce cca </w:t>
      </w:r>
      <w:r w:rsidR="008B507A" w:rsidRPr="002D0AD8">
        <w:rPr>
          <w:rFonts w:ascii="Arial" w:hAnsi="Arial" w:cs="Arial"/>
          <w:sz w:val="20"/>
          <w:szCs w:val="22"/>
        </w:rPr>
        <w:t>450</w:t>
      </w:r>
      <w:r w:rsidRPr="002D0AD8">
        <w:rPr>
          <w:rFonts w:ascii="Arial" w:hAnsi="Arial" w:cs="Arial"/>
          <w:sz w:val="20"/>
          <w:szCs w:val="22"/>
        </w:rPr>
        <w:t xml:space="preserve"> m – DN 100 podél stávajících komunikací.</w:t>
      </w:r>
    </w:p>
    <w:p w:rsidR="00C11764" w:rsidRPr="004C01A0" w:rsidRDefault="00C11764" w:rsidP="002D0AD8">
      <w:pPr>
        <w:pStyle w:val="Nadpis2"/>
      </w:pPr>
      <w:r w:rsidRPr="004C01A0">
        <w:t>Vymezení zdrojů povrchových a podzemních vod uvažovaných pro účely úpravy na vodu pitnou</w:t>
      </w:r>
    </w:p>
    <w:p w:rsidR="00C11764" w:rsidRPr="002D0AD8" w:rsidRDefault="00C11764">
      <w:pPr>
        <w:pStyle w:val="Bntext"/>
        <w:spacing w:line="240" w:lineRule="auto"/>
        <w:ind w:firstLine="0"/>
        <w:rPr>
          <w:sz w:val="20"/>
        </w:rPr>
      </w:pPr>
      <w:r w:rsidRPr="002D0AD8">
        <w:rPr>
          <w:sz w:val="20"/>
        </w:rPr>
        <w:t>V obci Újezd se naléz</w:t>
      </w:r>
      <w:r w:rsidR="004C01A0" w:rsidRPr="002D0AD8">
        <w:rPr>
          <w:sz w:val="20"/>
        </w:rPr>
        <w:t>á</w:t>
      </w:r>
      <w:r w:rsidRPr="002D0AD8">
        <w:rPr>
          <w:sz w:val="20"/>
        </w:rPr>
        <w:t xml:space="preserve"> zdroj vody vyžívané pro vodárenské účely. Jedná se o prameniště v údolní nivě pravostranného přítoku Benčického potoka,  posilovací vrty HV1 a jímací zářez Na Nivách. </w:t>
      </w:r>
    </w:p>
    <w:p w:rsidR="00C11764" w:rsidRPr="004C01A0" w:rsidRDefault="00C11764">
      <w:pPr>
        <w:pStyle w:val="Bntext"/>
        <w:spacing w:line="240" w:lineRule="auto"/>
        <w:ind w:firstLine="0"/>
      </w:pPr>
    </w:p>
    <w:p w:rsidR="00C11764" w:rsidRPr="004C01A0" w:rsidRDefault="00C11764" w:rsidP="002D0AD8">
      <w:pPr>
        <w:pStyle w:val="Nadpis2"/>
      </w:pPr>
      <w:r w:rsidRPr="004C01A0">
        <w:t>Varianty nouzového zásobování pitnou vodou za krizové situace (jako podklad pro krizový plán obce a kraje)</w:t>
      </w:r>
    </w:p>
    <w:p w:rsidR="00C11764" w:rsidRPr="002D0AD8" w:rsidRDefault="00C11764">
      <w:pPr>
        <w:pStyle w:val="Bntext"/>
        <w:spacing w:line="240" w:lineRule="auto"/>
        <w:ind w:firstLine="0"/>
        <w:rPr>
          <w:sz w:val="20"/>
        </w:rPr>
      </w:pPr>
      <w:r w:rsidRPr="002D0AD8">
        <w:rPr>
          <w:sz w:val="20"/>
        </w:rPr>
        <w:t>Vodovod je zdrojově napojen na tři zdroje. Z prameniště v údolní nivě pravostranného přítoku Benčického potoka, z posilovacích vrtů HV1 – HV3 a z VDJ Loučka 70 + 50 m</w:t>
      </w:r>
      <w:r w:rsidRPr="002D0AD8">
        <w:rPr>
          <w:sz w:val="20"/>
          <w:vertAlign w:val="superscript"/>
        </w:rPr>
        <w:t>3</w:t>
      </w:r>
      <w:r w:rsidRPr="002D0AD8">
        <w:rPr>
          <w:sz w:val="20"/>
        </w:rPr>
        <w:t xml:space="preserve"> ze zářezů Na nivách. Při výpadku některého ze zdrojů bude zásobování v omezeném množstvím pokračovat. V případě úplného přerušení dodávky pitné vody bude obyvatelstvo nouzově zásobeno pitn</w:t>
      </w:r>
      <w:r w:rsidR="00E120C5" w:rsidRPr="002D0AD8">
        <w:rPr>
          <w:sz w:val="20"/>
        </w:rPr>
        <w:t>o</w:t>
      </w:r>
      <w:r w:rsidRPr="002D0AD8">
        <w:rPr>
          <w:sz w:val="20"/>
        </w:rPr>
        <w:t>u vodou z mobilních cisteren nebo vodou balenou. Při spotřebě 15 litrů na obyvatele a den bude třeba do obce dodat 18,4 m</w:t>
      </w:r>
      <w:r w:rsidRPr="002D0AD8">
        <w:rPr>
          <w:sz w:val="20"/>
          <w:vertAlign w:val="superscript"/>
        </w:rPr>
        <w:t>3</w:t>
      </w:r>
      <w:r w:rsidRPr="002D0AD8">
        <w:rPr>
          <w:sz w:val="20"/>
        </w:rPr>
        <w:t>.den</w:t>
      </w:r>
      <w:r w:rsidRPr="002D0AD8">
        <w:rPr>
          <w:sz w:val="20"/>
          <w:vertAlign w:val="superscript"/>
        </w:rPr>
        <w:t>-1</w:t>
      </w:r>
      <w:r w:rsidRPr="002D0AD8">
        <w:rPr>
          <w:sz w:val="20"/>
        </w:rPr>
        <w:t xml:space="preserve">. </w:t>
      </w:r>
    </w:p>
    <w:p w:rsidR="00C11764" w:rsidRPr="004C01A0" w:rsidRDefault="00C11764">
      <w:pPr>
        <w:pStyle w:val="Bntext"/>
        <w:spacing w:line="240" w:lineRule="auto"/>
        <w:ind w:firstLine="0"/>
      </w:pPr>
    </w:p>
    <w:p w:rsidR="00C11764" w:rsidRPr="004C01A0" w:rsidRDefault="00C11764" w:rsidP="001A1CF0">
      <w:pPr>
        <w:pStyle w:val="Bntext"/>
        <w:spacing w:line="240" w:lineRule="auto"/>
        <w:ind w:firstLine="0"/>
      </w:pPr>
      <w:r w:rsidRPr="004C01A0">
        <w:t xml:space="preserve"> </w:t>
      </w:r>
      <w:bookmarkStart w:id="1" w:name="_GoBack"/>
      <w:bookmarkEnd w:id="1"/>
    </w:p>
    <w:p w:rsidR="00C11764" w:rsidRPr="004C01A0" w:rsidRDefault="00C11764">
      <w:pPr>
        <w:rPr>
          <w:rFonts w:ascii="Arial" w:hAnsi="Arial" w:cs="Arial"/>
          <w:sz w:val="22"/>
          <w:szCs w:val="22"/>
        </w:rPr>
      </w:pPr>
    </w:p>
    <w:sectPr w:rsidR="00C11764" w:rsidRPr="004C01A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134" w:right="1418" w:bottom="726" w:left="1418" w:header="567" w:footer="794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24AF4" w:rsidRDefault="00724AF4">
      <w:r>
        <w:separator/>
      </w:r>
    </w:p>
  </w:endnote>
  <w:endnote w:type="continuationSeparator" w:id="0">
    <w:p w:rsidR="00724AF4" w:rsidRDefault="00724A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1BC2" w:rsidRDefault="00AB1BC2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1764" w:rsidRPr="002D0AD8" w:rsidRDefault="00AB1BC2" w:rsidP="00AB1BC2">
    <w:pPr>
      <w:pStyle w:val="Zpat"/>
      <w:pBdr>
        <w:top w:val="single" w:sz="4" w:space="1" w:color="auto"/>
      </w:pBdr>
      <w:tabs>
        <w:tab w:val="clear" w:pos="4536"/>
        <w:tab w:val="clear" w:pos="9072"/>
        <w:tab w:val="center" w:pos="4253"/>
        <w:tab w:val="right" w:pos="9071"/>
      </w:tabs>
      <w:rPr>
        <w:rFonts w:ascii="Arial" w:hAnsi="Arial" w:cs="Arial"/>
        <w:sz w:val="18"/>
        <w:szCs w:val="20"/>
      </w:rPr>
    </w:pPr>
    <w:r w:rsidRPr="002D0AD8">
      <w:rPr>
        <w:rFonts w:ascii="Arial" w:hAnsi="Arial" w:cs="Arial"/>
        <w:sz w:val="18"/>
        <w:szCs w:val="20"/>
      </w:rPr>
      <w:t>aktualizace 2016</w:t>
    </w:r>
    <w:r w:rsidRPr="002D0AD8">
      <w:rPr>
        <w:rFonts w:ascii="Arial" w:hAnsi="Arial" w:cs="Arial"/>
        <w:sz w:val="18"/>
        <w:szCs w:val="20"/>
      </w:rPr>
      <w:tab/>
      <w:t>v_7209_015_01_17369</w:t>
    </w:r>
    <w:r w:rsidRPr="002D0AD8">
      <w:rPr>
        <w:rFonts w:ascii="Arial" w:hAnsi="Arial" w:cs="Arial"/>
        <w:sz w:val="18"/>
        <w:szCs w:val="20"/>
      </w:rPr>
      <w:tab/>
      <w:t xml:space="preserve">Strana: </w:t>
    </w:r>
    <w:r w:rsidRPr="002D0AD8">
      <w:rPr>
        <w:rFonts w:ascii="Arial" w:hAnsi="Arial" w:cs="Arial"/>
        <w:sz w:val="18"/>
        <w:szCs w:val="20"/>
      </w:rPr>
      <w:fldChar w:fldCharType="begin"/>
    </w:r>
    <w:r w:rsidRPr="002D0AD8">
      <w:rPr>
        <w:rFonts w:ascii="Arial" w:hAnsi="Arial" w:cs="Arial"/>
        <w:sz w:val="18"/>
        <w:szCs w:val="20"/>
      </w:rPr>
      <w:instrText xml:space="preserve"> PAGE  \* MERGEFORMAT </w:instrText>
    </w:r>
    <w:r w:rsidRPr="002D0AD8">
      <w:rPr>
        <w:rFonts w:ascii="Arial" w:hAnsi="Arial" w:cs="Arial"/>
        <w:sz w:val="18"/>
        <w:szCs w:val="20"/>
      </w:rPr>
      <w:fldChar w:fldCharType="separate"/>
    </w:r>
    <w:r w:rsidR="001A1CF0">
      <w:rPr>
        <w:rFonts w:ascii="Arial" w:hAnsi="Arial" w:cs="Arial"/>
        <w:noProof/>
        <w:sz w:val="18"/>
        <w:szCs w:val="20"/>
      </w:rPr>
      <w:t>1</w:t>
    </w:r>
    <w:r w:rsidRPr="002D0AD8">
      <w:rPr>
        <w:rFonts w:ascii="Arial" w:hAnsi="Arial" w:cs="Arial"/>
        <w:sz w:val="18"/>
        <w:szCs w:val="20"/>
      </w:rPr>
      <w:fldChar w:fldCharType="end"/>
    </w:r>
    <w:r w:rsidRPr="002D0AD8">
      <w:rPr>
        <w:rFonts w:ascii="Arial" w:hAnsi="Arial" w:cs="Arial"/>
        <w:sz w:val="18"/>
        <w:szCs w:val="20"/>
      </w:rPr>
      <w:t>/</w:t>
    </w:r>
    <w:r w:rsidR="00554181" w:rsidRPr="002D0AD8">
      <w:rPr>
        <w:sz w:val="22"/>
      </w:rPr>
      <w:fldChar w:fldCharType="begin"/>
    </w:r>
    <w:r w:rsidR="00554181" w:rsidRPr="002D0AD8">
      <w:rPr>
        <w:sz w:val="22"/>
      </w:rPr>
      <w:instrText xml:space="preserve"> NUMPAGES  \* MERGEFORMAT </w:instrText>
    </w:r>
    <w:r w:rsidR="00554181" w:rsidRPr="002D0AD8">
      <w:rPr>
        <w:sz w:val="22"/>
      </w:rPr>
      <w:fldChar w:fldCharType="separate"/>
    </w:r>
    <w:r w:rsidR="001A1CF0" w:rsidRPr="001A1CF0">
      <w:rPr>
        <w:rFonts w:ascii="Arial" w:hAnsi="Arial" w:cs="Arial"/>
        <w:noProof/>
        <w:sz w:val="18"/>
        <w:szCs w:val="20"/>
      </w:rPr>
      <w:t>1</w:t>
    </w:r>
    <w:r w:rsidR="00554181" w:rsidRPr="002D0AD8">
      <w:rPr>
        <w:rFonts w:ascii="Arial" w:hAnsi="Arial" w:cs="Arial"/>
        <w:noProof/>
        <w:sz w:val="18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1BC2" w:rsidRDefault="00AB1BC2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24AF4" w:rsidRDefault="00724AF4">
      <w:r>
        <w:separator/>
      </w:r>
    </w:p>
  </w:footnote>
  <w:footnote w:type="continuationSeparator" w:id="0">
    <w:p w:rsidR="00724AF4" w:rsidRDefault="00724A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1BC2" w:rsidRDefault="00AB1BC2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4181" w:rsidRPr="00554181" w:rsidRDefault="00554181" w:rsidP="00AB1BC2">
    <w:pPr>
      <w:pStyle w:val="Zhlav"/>
      <w:pBdr>
        <w:bottom w:val="single" w:sz="4" w:space="0" w:color="auto"/>
      </w:pBdr>
      <w:tabs>
        <w:tab w:val="clear" w:pos="4536"/>
        <w:tab w:val="clear" w:pos="9072"/>
        <w:tab w:val="right" w:pos="9071"/>
      </w:tabs>
      <w:rPr>
        <w:rFonts w:ascii="Arial" w:hAnsi="Arial" w:cs="Arial"/>
        <w:sz w:val="20"/>
        <w:szCs w:val="20"/>
      </w:rPr>
    </w:pPr>
    <w:r>
      <w:rPr>
        <w:rFonts w:ascii="Arial" w:hAnsi="Arial" w:cs="Arial"/>
        <w:b/>
        <w:sz w:val="20"/>
        <w:szCs w:val="20"/>
      </w:rPr>
      <w:t>Plán rozvoje vodovodů a kanalizací Zlínského kraje</w:t>
    </w:r>
    <w:r w:rsidRPr="00554181">
      <w:rPr>
        <w:rFonts w:ascii="Arial" w:hAnsi="Arial" w:cs="Arial"/>
        <w:b/>
        <w:color w:val="FFFFFF"/>
        <w:sz w:val="20"/>
        <w:szCs w:val="20"/>
      </w:rPr>
      <w:t xml:space="preserve">. </w:t>
    </w:r>
    <w:r w:rsidRPr="00554181">
      <w:rPr>
        <w:rFonts w:ascii="Arial" w:hAnsi="Arial" w:cs="Arial"/>
        <w:sz w:val="20"/>
        <w:szCs w:val="20"/>
      </w:rPr>
      <w:tab/>
      <w:t xml:space="preserve"> </w:t>
    </w:r>
  </w:p>
  <w:p w:rsidR="00C11764" w:rsidRPr="00554181" w:rsidRDefault="00554181" w:rsidP="00AB1BC2">
    <w:pPr>
      <w:pStyle w:val="Zhlav"/>
      <w:pBdr>
        <w:bottom w:val="single" w:sz="4" w:space="0" w:color="auto"/>
      </w:pBdr>
      <w:tabs>
        <w:tab w:val="clear" w:pos="4536"/>
        <w:tab w:val="clear" w:pos="9072"/>
        <w:tab w:val="right" w:pos="9071"/>
      </w:tabs>
      <w:rPr>
        <w:rFonts w:ascii="Arial" w:hAnsi="Arial" w:cs="Arial"/>
        <w:b/>
        <w:sz w:val="20"/>
        <w:szCs w:val="28"/>
      </w:rPr>
    </w:pPr>
    <w:r w:rsidRPr="00554181">
      <w:rPr>
        <w:rFonts w:ascii="Arial" w:hAnsi="Arial" w:cs="Arial"/>
        <w:sz w:val="20"/>
        <w:szCs w:val="20"/>
      </w:rPr>
      <w:t xml:space="preserve">TEXTOVÁ ČÁST - </w:t>
    </w:r>
    <w:r>
      <w:rPr>
        <w:rFonts w:ascii="Arial" w:hAnsi="Arial" w:cs="Arial"/>
        <w:b/>
        <w:sz w:val="20"/>
        <w:szCs w:val="20"/>
      </w:rPr>
      <w:t>VODOVODY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1BC2" w:rsidRDefault="00AB1BC2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2"/>
    <w:multiLevelType w:val="singleLevel"/>
    <w:tmpl w:val="0C24FEEC"/>
    <w:lvl w:ilvl="0">
      <w:start w:val="1"/>
      <w:numFmt w:val="bullet"/>
      <w:pStyle w:val="odrky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8022361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1A4638DC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FFFFFF89"/>
    <w:multiLevelType w:val="singleLevel"/>
    <w:tmpl w:val="88B633FA"/>
    <w:lvl w:ilvl="0">
      <w:start w:val="1"/>
      <w:numFmt w:val="bullet"/>
      <w:pStyle w:val="podklady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4" w15:restartNumberingAfterBreak="0">
    <w:nsid w:val="03AB658A"/>
    <w:multiLevelType w:val="multilevel"/>
    <w:tmpl w:val="0405000F"/>
    <w:lvl w:ilvl="0">
      <w:start w:val="1"/>
      <w:numFmt w:val="decimal"/>
      <w:pStyle w:val="Seznamsodrkami3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5410F87"/>
    <w:multiLevelType w:val="hybridMultilevel"/>
    <w:tmpl w:val="C87E0C3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698784E"/>
    <w:multiLevelType w:val="multilevel"/>
    <w:tmpl w:val="FB3A9C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D657FCD"/>
    <w:multiLevelType w:val="multi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83B479D"/>
    <w:multiLevelType w:val="hybridMultilevel"/>
    <w:tmpl w:val="2B98C15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3294208"/>
    <w:multiLevelType w:val="multi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2"/>
  </w:num>
  <w:num w:numId="6">
    <w:abstractNumId w:val="3"/>
  </w:num>
  <w:num w:numId="7">
    <w:abstractNumId w:val="4"/>
  </w:num>
  <w:num w:numId="8">
    <w:abstractNumId w:val="7"/>
  </w:num>
  <w:num w:numId="9">
    <w:abstractNumId w:val="8"/>
  </w:num>
  <w:num w:numId="10">
    <w:abstractNumId w:val="5"/>
  </w:num>
  <w:num w:numId="11">
    <w:abstractNumId w:val="9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oNotTrackMoves/>
  <w:doNotTrackFormatting/>
  <w:defaultTabStop w:val="567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6133E"/>
    <w:rsid w:val="000F1EB4"/>
    <w:rsid w:val="001A1CF0"/>
    <w:rsid w:val="00232856"/>
    <w:rsid w:val="002D0AD8"/>
    <w:rsid w:val="004C01A0"/>
    <w:rsid w:val="00554181"/>
    <w:rsid w:val="00724AF4"/>
    <w:rsid w:val="0076133E"/>
    <w:rsid w:val="008B507A"/>
    <w:rsid w:val="0093249D"/>
    <w:rsid w:val="00A26A5F"/>
    <w:rsid w:val="00A601FF"/>
    <w:rsid w:val="00AB1BC2"/>
    <w:rsid w:val="00BA5BD7"/>
    <w:rsid w:val="00C11764"/>
    <w:rsid w:val="00C768A8"/>
    <w:rsid w:val="00C81273"/>
    <w:rsid w:val="00CC2D8E"/>
    <w:rsid w:val="00D34C12"/>
    <w:rsid w:val="00D81F55"/>
    <w:rsid w:val="00E120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53FE6BE0-B842-4EBF-B75C-9C2D47CB44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overflowPunct w:val="0"/>
      <w:autoSpaceDE w:val="0"/>
      <w:autoSpaceDN w:val="0"/>
      <w:adjustRightInd w:val="0"/>
      <w:jc w:val="both"/>
      <w:textAlignment w:val="baseline"/>
    </w:pPr>
    <w:rPr>
      <w:sz w:val="24"/>
      <w:szCs w:val="24"/>
    </w:rPr>
  </w:style>
  <w:style w:type="paragraph" w:styleId="Nadpis1">
    <w:name w:val="heading 1"/>
    <w:basedOn w:val="Normln"/>
    <w:next w:val="Normln"/>
    <w:link w:val="Nadpis1Char"/>
    <w:autoRedefine/>
    <w:uiPriority w:val="99"/>
    <w:qFormat/>
    <w:rsid w:val="002D0AD8"/>
    <w:pPr>
      <w:ind w:left="113"/>
      <w:outlineLvl w:val="0"/>
    </w:pPr>
    <w:rPr>
      <w:rFonts w:ascii="Arial" w:hAnsi="Arial" w:cs="Arial"/>
      <w:b/>
      <w:bCs/>
      <w:sz w:val="28"/>
    </w:rPr>
  </w:style>
  <w:style w:type="paragraph" w:styleId="Nadpis2">
    <w:name w:val="heading 2"/>
    <w:basedOn w:val="Normln"/>
    <w:next w:val="Normln"/>
    <w:link w:val="Nadpis2Char"/>
    <w:autoRedefine/>
    <w:uiPriority w:val="99"/>
    <w:qFormat/>
    <w:rsid w:val="002D0AD8"/>
    <w:pPr>
      <w:keepNext/>
      <w:spacing w:before="240" w:after="60"/>
      <w:outlineLvl w:val="1"/>
    </w:pPr>
    <w:rPr>
      <w:rFonts w:ascii="Arial" w:hAnsi="Arial" w:cs="Arial"/>
      <w:b/>
      <w:bCs/>
      <w:szCs w:val="22"/>
    </w:rPr>
  </w:style>
  <w:style w:type="paragraph" w:styleId="Nadpis3">
    <w:name w:val="heading 3"/>
    <w:basedOn w:val="Normln"/>
    <w:next w:val="Normln"/>
    <w:link w:val="Nadpis3Char"/>
    <w:autoRedefine/>
    <w:uiPriority w:val="99"/>
    <w:qFormat/>
    <w:pPr>
      <w:keepNext/>
      <w:spacing w:before="240" w:after="60"/>
      <w:outlineLvl w:val="2"/>
    </w:pPr>
    <w:rPr>
      <w:b/>
      <w:bCs/>
    </w:rPr>
  </w:style>
  <w:style w:type="paragraph" w:styleId="Nadpis4">
    <w:name w:val="heading 4"/>
    <w:basedOn w:val="Normln"/>
    <w:next w:val="Normln"/>
    <w:link w:val="Nadpis4Char"/>
    <w:uiPriority w:val="99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9"/>
    <w:qFormat/>
    <w:pPr>
      <w:keepNext/>
      <w:ind w:firstLine="708"/>
      <w:outlineLvl w:val="4"/>
    </w:pPr>
    <w:rPr>
      <w:b/>
      <w:bCs/>
      <w:i/>
      <w:iCs/>
    </w:rPr>
  </w:style>
  <w:style w:type="paragraph" w:styleId="Nadpis6">
    <w:name w:val="heading 6"/>
    <w:basedOn w:val="Normln"/>
    <w:next w:val="Normln"/>
    <w:link w:val="Nadpis6Char"/>
    <w:uiPriority w:val="99"/>
    <w:qFormat/>
    <w:pPr>
      <w:keepNext/>
      <w:overflowPunct/>
      <w:autoSpaceDE/>
      <w:autoSpaceDN/>
      <w:adjustRightInd/>
      <w:spacing w:before="40" w:after="40"/>
      <w:jc w:val="center"/>
      <w:textAlignment w:val="auto"/>
      <w:outlineLvl w:val="5"/>
    </w:pPr>
    <w:rPr>
      <w:rFonts w:ascii="Arial" w:hAnsi="Arial" w:cs="Arial"/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"/>
    <w:uiPriority w:val="99"/>
    <w:qFormat/>
    <w:pPr>
      <w:keepNext/>
      <w:outlineLvl w:val="6"/>
    </w:pPr>
    <w:rPr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rsid w:val="002D0AD8"/>
    <w:rPr>
      <w:rFonts w:ascii="Arial" w:hAnsi="Arial" w:cs="Arial"/>
      <w:b/>
      <w:bCs/>
      <w:sz w:val="28"/>
      <w:szCs w:val="24"/>
    </w:rPr>
  </w:style>
  <w:style w:type="character" w:customStyle="1" w:styleId="Nadpis2Char">
    <w:name w:val="Nadpis 2 Char"/>
    <w:link w:val="Nadpis2"/>
    <w:uiPriority w:val="99"/>
    <w:rsid w:val="002D0AD8"/>
    <w:rPr>
      <w:rFonts w:ascii="Arial" w:hAnsi="Arial" w:cs="Arial"/>
      <w:b/>
      <w:bCs/>
      <w:sz w:val="24"/>
      <w:szCs w:val="22"/>
    </w:rPr>
  </w:style>
  <w:style w:type="character" w:customStyle="1" w:styleId="Nadpis3Char">
    <w:name w:val="Nadpis 3 Char"/>
    <w:link w:val="Nadpis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dpis4Char">
    <w:name w:val="Nadpis 4 Char"/>
    <w:link w:val="Nadpis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dpis5Char">
    <w:name w:val="Nadpis 5 Char"/>
    <w:link w:val="Nadpis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dpis6Char">
    <w:name w:val="Nadpis 6 Char"/>
    <w:link w:val="Nadpis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Nadpis7Char">
    <w:name w:val="Nadpis 7 Char"/>
    <w:link w:val="Nadpis7"/>
    <w:uiPriority w:val="9"/>
    <w:semiHidden/>
    <w:rPr>
      <w:rFonts w:ascii="Calibri" w:eastAsia="Times New Roman" w:hAnsi="Calibri" w:cs="Times New Roman"/>
      <w:sz w:val="24"/>
      <w:szCs w:val="24"/>
    </w:r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rPr>
      <w:sz w:val="24"/>
      <w:szCs w:val="24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semiHidden/>
    <w:rPr>
      <w:sz w:val="24"/>
      <w:szCs w:val="24"/>
    </w:rPr>
  </w:style>
  <w:style w:type="character" w:styleId="slostrnky">
    <w:name w:val="page number"/>
    <w:basedOn w:val="Standardnpsmoodstavce"/>
    <w:uiPriority w:val="99"/>
  </w:style>
  <w:style w:type="paragraph" w:customStyle="1" w:styleId="KODYOBC">
    <w:name w:val="KODY_OBCÍ"/>
    <w:basedOn w:val="Normln"/>
    <w:autoRedefine/>
    <w:uiPriority w:val="99"/>
    <w:pPr>
      <w:keepNext/>
    </w:pPr>
    <w:rPr>
      <w:rFonts w:ascii="Arial" w:hAnsi="Arial" w:cs="Arial"/>
      <w:sz w:val="20"/>
      <w:szCs w:val="20"/>
    </w:rPr>
  </w:style>
  <w:style w:type="paragraph" w:styleId="Obsah1">
    <w:name w:val="toc 1"/>
    <w:basedOn w:val="Zkladntext"/>
    <w:next w:val="Normln"/>
    <w:autoRedefine/>
    <w:uiPriority w:val="99"/>
    <w:semiHidden/>
    <w:pPr>
      <w:tabs>
        <w:tab w:val="right" w:leader="dot" w:pos="9345"/>
      </w:tabs>
    </w:pPr>
    <w:rPr>
      <w:sz w:val="20"/>
      <w:szCs w:val="20"/>
    </w:rPr>
  </w:style>
  <w:style w:type="paragraph" w:styleId="Zkladntext">
    <w:name w:val="Body Text"/>
    <w:basedOn w:val="Normln"/>
    <w:link w:val="ZkladntextChar"/>
    <w:uiPriority w:val="99"/>
    <w:pPr>
      <w:spacing w:after="120"/>
    </w:pPr>
  </w:style>
  <w:style w:type="character" w:customStyle="1" w:styleId="ZkladntextChar">
    <w:name w:val="Základní text Char"/>
    <w:link w:val="Zkladntext"/>
    <w:uiPriority w:val="99"/>
    <w:semiHidden/>
    <w:rPr>
      <w:sz w:val="24"/>
      <w:szCs w:val="24"/>
    </w:rPr>
  </w:style>
  <w:style w:type="character" w:styleId="Hypertextovodkaz">
    <w:name w:val="Hyperlink"/>
    <w:uiPriority w:val="99"/>
    <w:rPr>
      <w:color w:val="0000FF"/>
      <w:u w:val="single"/>
    </w:rPr>
  </w:style>
  <w:style w:type="paragraph" w:styleId="Rozloendokumentu">
    <w:name w:val="Document Map"/>
    <w:basedOn w:val="Normln"/>
    <w:link w:val="RozloendokumentuChar"/>
    <w:uiPriority w:val="99"/>
    <w:semiHidden/>
    <w:pPr>
      <w:shd w:val="clear" w:color="auto" w:fill="000080"/>
    </w:pPr>
    <w:rPr>
      <w:rFonts w:ascii="Tahoma" w:hAnsi="Tahoma" w:cs="Tahoma"/>
    </w:rPr>
  </w:style>
  <w:style w:type="character" w:customStyle="1" w:styleId="RozloendokumentuChar">
    <w:name w:val="Rozložení dokumentu Char"/>
    <w:link w:val="Rozloendokumentu"/>
    <w:uiPriority w:val="99"/>
    <w:semiHidden/>
    <w:rPr>
      <w:rFonts w:ascii="Tahoma" w:hAnsi="Tahoma" w:cs="Tahoma"/>
      <w:sz w:val="16"/>
      <w:szCs w:val="16"/>
    </w:rPr>
  </w:style>
  <w:style w:type="paragraph" w:styleId="Titulek">
    <w:name w:val="caption"/>
    <w:basedOn w:val="Normln"/>
    <w:next w:val="Normln"/>
    <w:uiPriority w:val="99"/>
    <w:qFormat/>
    <w:pPr>
      <w:spacing w:before="120" w:after="120"/>
    </w:pPr>
    <w:rPr>
      <w:b/>
      <w:bCs/>
      <w:sz w:val="20"/>
      <w:szCs w:val="20"/>
    </w:rPr>
  </w:style>
  <w:style w:type="paragraph" w:styleId="slovanseznam">
    <w:name w:val="List Number"/>
    <w:basedOn w:val="Normln"/>
    <w:uiPriority w:val="99"/>
    <w:pPr>
      <w:numPr>
        <w:numId w:val="1"/>
      </w:numPr>
      <w:ind w:left="0" w:firstLine="0"/>
    </w:pPr>
  </w:style>
  <w:style w:type="paragraph" w:customStyle="1" w:styleId="podklady">
    <w:name w:val="podklady"/>
    <w:basedOn w:val="Normln"/>
    <w:autoRedefine/>
    <w:uiPriority w:val="99"/>
    <w:pPr>
      <w:numPr>
        <w:numId w:val="2"/>
      </w:numPr>
      <w:tabs>
        <w:tab w:val="clear" w:pos="360"/>
      </w:tabs>
      <w:ind w:left="0" w:firstLine="0"/>
    </w:pPr>
  </w:style>
  <w:style w:type="character" w:customStyle="1" w:styleId="podkladyChar">
    <w:name w:val="podklady Char"/>
    <w:uiPriority w:val="99"/>
    <w:rPr>
      <w:sz w:val="24"/>
      <w:szCs w:val="24"/>
      <w:lang w:val="cs-CZ" w:eastAsia="cs-CZ"/>
    </w:rPr>
  </w:style>
  <w:style w:type="paragraph" w:customStyle="1" w:styleId="TABULKA">
    <w:name w:val="TABULKA"/>
    <w:basedOn w:val="Normln"/>
    <w:uiPriority w:val="99"/>
    <w:rPr>
      <w:rFonts w:ascii="Arial" w:hAnsi="Arial" w:cs="Arial"/>
      <w:sz w:val="20"/>
      <w:szCs w:val="20"/>
    </w:rPr>
  </w:style>
  <w:style w:type="paragraph" w:customStyle="1" w:styleId="NZVYKODYOBC">
    <w:name w:val="NÁZVY_KODY_OBCÍ"/>
    <w:basedOn w:val="KODYOBC"/>
    <w:autoRedefine/>
    <w:uiPriority w:val="99"/>
    <w:rsid w:val="002D0AD8"/>
    <w:pPr>
      <w:pageBreakBefore/>
      <w:jc w:val="center"/>
    </w:pPr>
    <w:rPr>
      <w:sz w:val="18"/>
    </w:rPr>
  </w:style>
  <w:style w:type="character" w:styleId="slodku">
    <w:name w:val="line number"/>
    <w:basedOn w:val="Standardnpsmoodstavce"/>
    <w:uiPriority w:val="99"/>
  </w:style>
  <w:style w:type="paragraph" w:styleId="Obsah2">
    <w:name w:val="toc 2"/>
    <w:basedOn w:val="Normln"/>
    <w:next w:val="Normln"/>
    <w:autoRedefine/>
    <w:uiPriority w:val="99"/>
    <w:semiHidden/>
    <w:pPr>
      <w:ind w:left="240"/>
      <w:jc w:val="left"/>
    </w:pPr>
  </w:style>
  <w:style w:type="paragraph" w:styleId="Obsah3">
    <w:name w:val="toc 3"/>
    <w:basedOn w:val="Normln"/>
    <w:next w:val="Normln"/>
    <w:autoRedefine/>
    <w:uiPriority w:val="99"/>
    <w:semiHidden/>
    <w:pPr>
      <w:ind w:left="480"/>
      <w:jc w:val="left"/>
    </w:pPr>
  </w:style>
  <w:style w:type="paragraph" w:styleId="Obsah4">
    <w:name w:val="toc 4"/>
    <w:basedOn w:val="Normln"/>
    <w:next w:val="Normln"/>
    <w:autoRedefine/>
    <w:uiPriority w:val="99"/>
    <w:semiHidden/>
    <w:pPr>
      <w:ind w:left="720"/>
      <w:jc w:val="left"/>
    </w:pPr>
  </w:style>
  <w:style w:type="paragraph" w:styleId="Obsah5">
    <w:name w:val="toc 5"/>
    <w:basedOn w:val="Normln"/>
    <w:next w:val="Normln"/>
    <w:autoRedefine/>
    <w:uiPriority w:val="99"/>
    <w:semiHidden/>
    <w:pPr>
      <w:ind w:left="960"/>
      <w:jc w:val="left"/>
    </w:pPr>
  </w:style>
  <w:style w:type="paragraph" w:styleId="Obsah6">
    <w:name w:val="toc 6"/>
    <w:basedOn w:val="Normln"/>
    <w:next w:val="Normln"/>
    <w:autoRedefine/>
    <w:uiPriority w:val="99"/>
    <w:semiHidden/>
    <w:pPr>
      <w:ind w:left="1200"/>
      <w:jc w:val="left"/>
    </w:pPr>
  </w:style>
  <w:style w:type="paragraph" w:styleId="Obsah7">
    <w:name w:val="toc 7"/>
    <w:basedOn w:val="Normln"/>
    <w:next w:val="Normln"/>
    <w:autoRedefine/>
    <w:uiPriority w:val="99"/>
    <w:semiHidden/>
    <w:pPr>
      <w:ind w:left="1440"/>
      <w:jc w:val="left"/>
    </w:pPr>
  </w:style>
  <w:style w:type="paragraph" w:styleId="Obsah8">
    <w:name w:val="toc 8"/>
    <w:basedOn w:val="Normln"/>
    <w:next w:val="Normln"/>
    <w:autoRedefine/>
    <w:uiPriority w:val="99"/>
    <w:semiHidden/>
    <w:pPr>
      <w:ind w:left="1680"/>
      <w:jc w:val="left"/>
    </w:pPr>
  </w:style>
  <w:style w:type="paragraph" w:styleId="Obsah9">
    <w:name w:val="toc 9"/>
    <w:basedOn w:val="Normln"/>
    <w:next w:val="Normln"/>
    <w:autoRedefine/>
    <w:uiPriority w:val="99"/>
    <w:semiHidden/>
    <w:pPr>
      <w:ind w:left="1920"/>
      <w:jc w:val="left"/>
    </w:pPr>
  </w:style>
  <w:style w:type="character" w:customStyle="1" w:styleId="normalnizelena">
    <w:name w:val="normalni+zelena"/>
    <w:uiPriority w:val="99"/>
    <w:rPr>
      <w:color w:val="auto"/>
    </w:rPr>
  </w:style>
  <w:style w:type="character" w:customStyle="1" w:styleId="normlnpodtren">
    <w:name w:val="normální+podtržení"/>
    <w:uiPriority w:val="99"/>
    <w:rPr>
      <w:u w:val="single"/>
    </w:rPr>
  </w:style>
  <w:style w:type="paragraph" w:customStyle="1" w:styleId="odrky">
    <w:name w:val="odrážky"/>
    <w:uiPriority w:val="99"/>
    <w:pPr>
      <w:numPr>
        <w:numId w:val="4"/>
      </w:numPr>
      <w:tabs>
        <w:tab w:val="clear" w:pos="926"/>
        <w:tab w:val="num" w:pos="284"/>
      </w:tabs>
      <w:ind w:left="284" w:hanging="284"/>
    </w:pPr>
    <w:rPr>
      <w:sz w:val="24"/>
      <w:szCs w:val="24"/>
    </w:rPr>
  </w:style>
  <w:style w:type="paragraph" w:customStyle="1" w:styleId="Bntext">
    <w:name w:val="Běžný text"/>
    <w:basedOn w:val="Normln"/>
    <w:uiPriority w:val="99"/>
    <w:pPr>
      <w:overflowPunct/>
      <w:autoSpaceDE/>
      <w:autoSpaceDN/>
      <w:adjustRightInd/>
      <w:spacing w:before="60" w:line="360" w:lineRule="auto"/>
      <w:ind w:firstLine="709"/>
      <w:textAlignment w:val="auto"/>
    </w:pPr>
    <w:rPr>
      <w:rFonts w:ascii="Arial" w:hAnsi="Arial" w:cs="Arial"/>
      <w:sz w:val="22"/>
      <w:szCs w:val="22"/>
    </w:rPr>
  </w:style>
  <w:style w:type="paragraph" w:styleId="Zkladntext2">
    <w:name w:val="Body Text 2"/>
    <w:basedOn w:val="Normln"/>
    <w:link w:val="Zkladntext2Char"/>
    <w:uiPriority w:val="99"/>
    <w:pPr>
      <w:jc w:val="left"/>
    </w:pPr>
  </w:style>
  <w:style w:type="character" w:customStyle="1" w:styleId="Zkladntext2Char">
    <w:name w:val="Základní text 2 Char"/>
    <w:link w:val="Zkladntext2"/>
    <w:uiPriority w:val="99"/>
    <w:semiHidden/>
    <w:rPr>
      <w:sz w:val="24"/>
      <w:szCs w:val="24"/>
    </w:rPr>
  </w:style>
  <w:style w:type="paragraph" w:styleId="Zkladntext3">
    <w:name w:val="Body Text 3"/>
    <w:basedOn w:val="Normln"/>
    <w:link w:val="Zkladntext3Char"/>
    <w:uiPriority w:val="99"/>
    <w:rPr>
      <w:color w:val="0000FF"/>
    </w:rPr>
  </w:style>
  <w:style w:type="character" w:customStyle="1" w:styleId="Zkladntext3Char">
    <w:name w:val="Základní text 3 Char"/>
    <w:link w:val="Zkladntext3"/>
    <w:uiPriority w:val="99"/>
    <w:semiHidden/>
    <w:rPr>
      <w:sz w:val="16"/>
      <w:szCs w:val="16"/>
    </w:rPr>
  </w:style>
  <w:style w:type="paragraph" w:styleId="Zkladntextodsazen2">
    <w:name w:val="Body Text Indent 2"/>
    <w:basedOn w:val="Normln"/>
    <w:link w:val="Zkladntextodsazen2Char"/>
    <w:uiPriority w:val="99"/>
    <w:pPr>
      <w:ind w:firstLine="708"/>
    </w:pPr>
    <w:rPr>
      <w:color w:val="0000FF"/>
    </w:rPr>
  </w:style>
  <w:style w:type="character" w:customStyle="1" w:styleId="Zkladntextodsazen2Char">
    <w:name w:val="Základní text odsazený 2 Char"/>
    <w:link w:val="Zkladntextodsazen2"/>
    <w:uiPriority w:val="99"/>
    <w:semiHidden/>
    <w:rPr>
      <w:sz w:val="24"/>
      <w:szCs w:val="24"/>
    </w:rPr>
  </w:style>
  <w:style w:type="paragraph" w:styleId="Zkladntextodsazen3">
    <w:name w:val="Body Text Indent 3"/>
    <w:basedOn w:val="Normln"/>
    <w:link w:val="Zkladntextodsazen3Char"/>
    <w:uiPriority w:val="99"/>
    <w:pPr>
      <w:overflowPunct/>
      <w:autoSpaceDE/>
      <w:autoSpaceDN/>
      <w:adjustRightInd/>
      <w:ind w:left="-142" w:firstLine="850"/>
      <w:textAlignment w:val="auto"/>
    </w:pPr>
  </w:style>
  <w:style w:type="character" w:customStyle="1" w:styleId="Zkladntextodsazen3Char">
    <w:name w:val="Základní text odsazený 3 Char"/>
    <w:link w:val="Zkladntextodsazen3"/>
    <w:uiPriority w:val="99"/>
    <w:semiHidden/>
    <w:rPr>
      <w:sz w:val="16"/>
      <w:szCs w:val="16"/>
    </w:rPr>
  </w:style>
  <w:style w:type="character" w:styleId="Sledovanodkaz">
    <w:name w:val="FollowedHyperlink"/>
    <w:uiPriority w:val="99"/>
    <w:rPr>
      <w:color w:val="800080"/>
      <w:u w:val="single"/>
    </w:rPr>
  </w:style>
  <w:style w:type="paragraph" w:styleId="Seznam">
    <w:name w:val="List"/>
    <w:basedOn w:val="Normln"/>
    <w:uiPriority w:val="99"/>
    <w:pPr>
      <w:ind w:left="283" w:hanging="283"/>
    </w:pPr>
  </w:style>
  <w:style w:type="paragraph" w:styleId="Seznam2">
    <w:name w:val="List 2"/>
    <w:basedOn w:val="Normln"/>
    <w:uiPriority w:val="99"/>
    <w:pPr>
      <w:ind w:left="566" w:hanging="283"/>
    </w:pPr>
  </w:style>
  <w:style w:type="paragraph" w:styleId="Seznam3">
    <w:name w:val="List 3"/>
    <w:basedOn w:val="Normln"/>
    <w:uiPriority w:val="99"/>
    <w:pPr>
      <w:ind w:left="849" w:hanging="283"/>
    </w:pPr>
  </w:style>
  <w:style w:type="paragraph" w:styleId="Seznamsodrkami">
    <w:name w:val="List Bullet"/>
    <w:basedOn w:val="Normln"/>
    <w:autoRedefine/>
    <w:uiPriority w:val="99"/>
    <w:pPr>
      <w:tabs>
        <w:tab w:val="num" w:pos="360"/>
      </w:tabs>
      <w:ind w:left="360" w:hanging="360"/>
    </w:pPr>
  </w:style>
  <w:style w:type="paragraph" w:styleId="Seznamsodrkami2">
    <w:name w:val="List Bullet 2"/>
    <w:basedOn w:val="Normln"/>
    <w:autoRedefine/>
    <w:uiPriority w:val="99"/>
    <w:pPr>
      <w:tabs>
        <w:tab w:val="num" w:pos="643"/>
      </w:tabs>
      <w:ind w:left="643" w:hanging="360"/>
    </w:pPr>
  </w:style>
  <w:style w:type="paragraph" w:styleId="Seznamsodrkami3">
    <w:name w:val="List Bullet 3"/>
    <w:basedOn w:val="Normln"/>
    <w:autoRedefine/>
    <w:uiPriority w:val="99"/>
    <w:pPr>
      <w:numPr>
        <w:numId w:val="7"/>
      </w:numPr>
      <w:tabs>
        <w:tab w:val="clear" w:pos="360"/>
        <w:tab w:val="num" w:pos="926"/>
      </w:tabs>
      <w:ind w:left="926"/>
    </w:pPr>
  </w:style>
  <w:style w:type="paragraph" w:styleId="Pokraovnseznamu">
    <w:name w:val="List Continue"/>
    <w:basedOn w:val="Normln"/>
    <w:uiPriority w:val="99"/>
    <w:pPr>
      <w:spacing w:after="120"/>
      <w:ind w:left="283"/>
    </w:pPr>
  </w:style>
  <w:style w:type="paragraph" w:styleId="Pokraovnseznamu2">
    <w:name w:val="List Continue 2"/>
    <w:basedOn w:val="Normln"/>
    <w:uiPriority w:val="99"/>
    <w:pPr>
      <w:spacing w:after="120"/>
      <w:ind w:left="566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4C01A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4C01A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468</Words>
  <Characters>2764</Characters>
  <Application>Microsoft Office Word</Application>
  <DocSecurity>0</DocSecurity>
  <Lines>23</Lines>
  <Paragraphs>6</Paragraphs>
  <ScaleCrop>false</ScaleCrop>
  <Company>Centroprojekt Zlín a.s., Voding Hranice s.r.o.</Company>
  <LinksUpToDate>false</LinksUpToDate>
  <CharactersWithSpaces>3226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PLÁN ROZVOJE VODOVODŮ A KANALIZACÍ ZLÍNSKÉHO KRAJE</dc:title>
  <dc:subject/>
  <dc:creator>Tomáš Adler</dc:creator>
  <cp:keywords/>
  <dc:description/>
  <cp:lastModifiedBy>Vítková Táňa</cp:lastModifiedBy>
  <cp:revision>4</cp:revision>
  <cp:lastPrinted>2016-12-14T14:12:00Z</cp:lastPrinted>
  <dcterms:created xsi:type="dcterms:W3CDTF">2016-12-14T14:12:00Z</dcterms:created>
  <dcterms:modified xsi:type="dcterms:W3CDTF">2017-10-02T12:55:00Z</dcterms:modified>
</cp:coreProperties>
</file>